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EMR Migration &amp; Configuration Checklist</w:t>
      </w:r>
    </w:p>
    <w:p>
      <w:pPr>
        <w:pStyle w:val="Body"/>
      </w:pPr>
      <w:r>
        <w:t xml:space="preserve">Switching EMRs is mostly a data and billing-continuity problem, not a software problem. This vendor-neutral checklist walks the five phases — and flags the steps where practices most often lose data or open a revenue gap.</w:t>
      </w:r>
    </w:p>
    <w:p>
      <w:pPr>
        <w:pStyle w:val="Meta"/>
      </w:pPr>
      <w:r>
        <w:t xml:space="preserve">Vendor-neutral. Updated 2026-07-29. Latest version: https://www.copergrine.com/emr/migration-checklist</w:t>
      </w:r>
    </w:p>
    <w:p>
      <w:pPr>
        <w:pStyle w:val="Heading1"/>
      </w:pPr>
      <w:r>
        <w:t xml:space="preserve">Phases</w:t>
      </w:r>
    </w:p>
    <w:p>
      <w:pPr>
        <w:pStyle w:val="Heading2"/>
      </w:pPr>
      <w:r>
        <w:t xml:space="preserve">1. Plan (4–8 weeks out)</w:t>
      </w:r>
    </w:p>
    <w:p>
      <w:pPr>
        <w:pStyle w:val="Check"/>
      </w:pPr>
      <w:r>
        <w:t xml:space="preserve">☐  Name an internal owner and a clinical champion; align on a realistic go-live date (avoid month-end and your busiest season).</w:t>
      </w:r>
    </w:p>
    <w:p>
      <w:pPr>
        <w:pStyle w:val="Check"/>
      </w:pPr>
      <w:r>
        <w:t xml:space="preserve">☐  Sign the BAA and confirm the new vendor's data-migration scope in writing — what they migrate vs. what you export yourself.</w:t>
      </w:r>
    </w:p>
    <w:p>
      <w:pPr>
        <w:pStyle w:val="Check"/>
      </w:pPr>
      <w:r>
        <w:t xml:space="preserve">☐  Inventory your current data: patients, active problems/medications/allergies, documents, schedules, open orders, and accounts receivable.</w:t>
      </w:r>
    </w:p>
    <w:p>
      <w:pPr>
        <w:pStyle w:val="Check"/>
      </w:pPr>
      <w:r>
        <w:t xml:space="preserve">☐  Pull a clean export from the legacy system (or confirm API/database access) and document field mappings to the new schema.</w:t>
      </w:r>
    </w:p>
    <w:p>
      <w:pPr>
        <w:pStyle w:val="Check"/>
      </w:pPr>
      <w:r>
        <w:t xml:space="preserve">☐  Decide your historical-data strategy: full chart migration vs. migrate active patients + read-only archive of the rest.</w:t>
      </w:r>
    </w:p>
    <w:p>
      <w:pPr>
        <w:pStyle w:val="Heading2"/>
      </w:pPr>
      <w:r>
        <w:t xml:space="preserve">2. Migrate data</w:t>
      </w:r>
    </w:p>
    <w:p>
      <w:pPr>
        <w:pStyle w:val="Check"/>
      </w:pPr>
      <w:r>
        <w:t xml:space="preserve">☐  Migrate structured data first: demographics, insurance/payers, problem list, medications, allergies, immunizations.</w:t>
      </w:r>
    </w:p>
    <w:p>
      <w:pPr>
        <w:pStyle w:val="Check"/>
      </w:pPr>
      <w:r>
        <w:t xml:space="preserve">☐  Migrate scheduling so day-one appointments exist; migrate open/active orders and care plans (485s for home health).</w:t>
      </w:r>
    </w:p>
    <w:p>
      <w:pPr>
        <w:pStyle w:val="Check"/>
      </w:pPr>
      <w:r>
        <w:t xml:space="preserve">☐  Bring over AR and open claims so billing continuity is preserved — a revenue gap at go-live is the most expensive mistake.</w:t>
      </w:r>
    </w:p>
    <w:p>
      <w:pPr>
        <w:pStyle w:val="Check"/>
      </w:pPr>
      <w:r>
        <w:t xml:space="preserve">☐  Attach documents/PDFs to the correct charts; confirm encoding and that nothing is truncated.</w:t>
      </w:r>
    </w:p>
    <w:p>
      <w:pPr>
        <w:pStyle w:val="Check"/>
      </w:pPr>
      <w:r>
        <w:t xml:space="preserve">☐  Run the migration into a staging/sandbox tenant first, never straight into production.</w:t>
      </w:r>
    </w:p>
    <w:p>
      <w:pPr>
        <w:pStyle w:val="Heading2"/>
      </w:pPr>
      <w:r>
        <w:t xml:space="preserve">3. Validate (before go-live)</w:t>
      </w:r>
    </w:p>
    <w:p>
      <w:pPr>
        <w:pStyle w:val="Check"/>
      </w:pPr>
      <w:r>
        <w:t xml:space="preserve">☐  Reconcile record counts: patients in = patients out; medications, allergies, and documents tie to source totals.</w:t>
      </w:r>
    </w:p>
    <w:p>
      <w:pPr>
        <w:pStyle w:val="Check"/>
      </w:pPr>
      <w:r>
        <w:t xml:space="preserve">☐  Spot-check 20–30 charts across visit types for fidelity — active meds, allergies, and recent notes especially.</w:t>
      </w:r>
    </w:p>
    <w:p>
      <w:pPr>
        <w:pStyle w:val="Check"/>
      </w:pPr>
      <w:r>
        <w:t xml:space="preserve">☐  Verify e-prescribing, eligibility checks, and the clearinghouse connection in the sandbox with test transactions.</w:t>
      </w:r>
    </w:p>
    <w:p>
      <w:pPr>
        <w:pStyle w:val="Check"/>
      </w:pPr>
      <w:r>
        <w:t xml:space="preserve">☐  Confirm payer enrollments and EDI (837/835) are active for the new system — these often have lead times.</w:t>
      </w:r>
    </w:p>
    <w:p>
      <w:pPr>
        <w:pStyle w:val="Check"/>
      </w:pPr>
      <w:r>
        <w:t xml:space="preserve">☐  For home health: validate OASIS export to iQIES and PDGM grouping on sample episodes.</w:t>
      </w:r>
    </w:p>
    <w:p>
      <w:pPr>
        <w:pStyle w:val="Heading2"/>
      </w:pPr>
      <w:r>
        <w:t xml:space="preserve">4. Train &amp; prepare go-live</w:t>
      </w:r>
    </w:p>
    <w:p>
      <w:pPr>
        <w:pStyle w:val="Check"/>
      </w:pPr>
      <w:r>
        <w:t xml:space="preserve">☐  Role-based training (providers, nursing, front desk, billing) on real workflows, not a generic demo.</w:t>
      </w:r>
    </w:p>
    <w:p>
      <w:pPr>
        <w:pStyle w:val="Check"/>
      </w:pPr>
      <w:r>
        <w:t xml:space="preserve">☐  Write a one-page day-one quick-reference for each role; identify super-users for floor support.</w:t>
      </w:r>
    </w:p>
    <w:p>
      <w:pPr>
        <w:pStyle w:val="Check"/>
      </w:pPr>
      <w:r>
        <w:t xml:space="preserve">☐  Plan a parallel period or a clean cutover date; keep the legacy system read-only for a defined window.</w:t>
      </w:r>
    </w:p>
    <w:p>
      <w:pPr>
        <w:pStyle w:val="Check"/>
      </w:pPr>
      <w:r>
        <w:t xml:space="preserve">☐  Document a rollback plan and the exact conditions that would trigger it.</w:t>
      </w:r>
    </w:p>
    <w:p>
      <w:pPr>
        <w:pStyle w:val="Heading2"/>
      </w:pPr>
      <w:r>
        <w:t xml:space="preserve">5. Go-live &amp; the first billing cycle</w:t>
      </w:r>
    </w:p>
    <w:p>
      <w:pPr>
        <w:pStyle w:val="Check"/>
      </w:pPr>
      <w:r>
        <w:t xml:space="preserve">☐  Lighten the schedule for the first 2–3 days; staff extra support hours.</w:t>
      </w:r>
    </w:p>
    <w:p>
      <w:pPr>
        <w:pStyle w:val="Check"/>
      </w:pPr>
      <w:r>
        <w:t xml:space="preserve">☐  Submit a small first claim batch and watch acceptance/277CA before scaling up.</w:t>
      </w:r>
    </w:p>
    <w:p>
      <w:pPr>
        <w:pStyle w:val="Check"/>
      </w:pPr>
      <w:r>
        <w:t xml:space="preserve">☐  Monitor the first full billing cycle daily: rejections, denials, days-in-AR, and any payer enrollment gaps.</w:t>
      </w:r>
    </w:p>
    <w:p>
      <w:pPr>
        <w:pStyle w:val="Check"/>
      </w:pPr>
      <w:r>
        <w:t xml:space="preserve">☐  Hold a 2-week retro; clean up data issues surfaced in real use before closing out the legacy system.</w:t>
      </w:r>
    </w:p>
    <w:p>
      <w:pPr>
        <w:pStyle w:val="Heading1"/>
      </w:pPr>
      <w:r>
        <w:t xml:space="preserve">Configuration decisions (any vendor)</w:t>
      </w:r>
    </w:p>
    <w:p>
      <w:pPr>
        <w:pStyle w:val="Body"/>
      </w:pPr>
      <w:r>
        <w:t xml:space="preserve">Work these in parallel with the migration — each one has a lead time, and each one blocks go-live if it is discovered late.</w:t>
      </w:r>
    </w:p>
    <w:p>
      <w:pPr>
        <w:pStyle w:val="Check"/>
      </w:pPr>
      <w:r>
        <w:t xml:space="preserve">☐  Locations, departments, and place-of-service codes for every site you bill from.</w:t>
      </w:r>
    </w:p>
    <w:p>
      <w:pPr>
        <w:pStyle w:val="Check"/>
      </w:pPr>
      <w:r>
        <w:t xml:space="preserve">☐  Provider records: NPI, taxonomy, state licenses, DEA (and EPCS enrollment if you e-prescribe controlled substances).</w:t>
      </w:r>
    </w:p>
    <w:p>
      <w:pPr>
        <w:pStyle w:val="Check"/>
      </w:pPr>
      <w:r>
        <w:t xml:space="preserve">☐  Roles and permissions per job function — least privilege, with a named owner for the admin role.</w:t>
      </w:r>
    </w:p>
    <w:p>
      <w:pPr>
        <w:pStyle w:val="Check"/>
      </w:pPr>
      <w:r>
        <w:t xml:space="preserve">☐  Templates and note types for your top 10 visit reasons; retire the ones nobody uses.</w:t>
      </w:r>
    </w:p>
    <w:p>
      <w:pPr>
        <w:pStyle w:val="Check"/>
      </w:pPr>
      <w:r>
        <w:t xml:space="preserve">☐  Fee schedule, CPT/HCPCS favorites, modifiers, and your self-pay/cash price list.</w:t>
      </w:r>
    </w:p>
    <w:p>
      <w:pPr>
        <w:pStyle w:val="Check"/>
      </w:pPr>
      <w:r>
        <w:t xml:space="preserve">☐  Payer list with electronic payer IDs, plus eligibility (270/271) and claims (837/835) enrollment status per payer.</w:t>
      </w:r>
    </w:p>
    <w:p>
      <w:pPr>
        <w:pStyle w:val="Check"/>
      </w:pPr>
      <w:r>
        <w:t xml:space="preserve">☐  Clearinghouse connection, submitter ID, and a test claim through to a 277CA acknowledgement.</w:t>
      </w:r>
    </w:p>
    <w:p>
      <w:pPr>
        <w:pStyle w:val="Check"/>
      </w:pPr>
      <w:r>
        <w:t xml:space="preserve">☐  Lab and imaging interfaces, e-prescribing (and EPCS token) enrollment, and immunization registry connection.</w:t>
      </w:r>
    </w:p>
    <w:p>
      <w:pPr>
        <w:pStyle w:val="Check"/>
      </w:pPr>
      <w:r>
        <w:t xml:space="preserve">☐  Patient portal branding, appointment reminders, and consent/intake forms.</w:t>
      </w:r>
    </w:p>
    <w:p>
      <w:pPr>
        <w:pStyle w:val="Check"/>
      </w:pPr>
      <w:r>
        <w:t xml:space="preserve">☐  Home health only: OASIS-E settings, PDGM grouping, EVV vendor/aggregator, and 485 signature routing.</w:t>
      </w:r>
    </w:p>
    <w:p>
      <w:pPr>
        <w:pStyle w:val="Heading1"/>
      </w:pPr>
      <w:r>
        <w:t xml:space="preserve">About</w:t>
      </w:r>
    </w:p>
    <w:p>
      <w:pPr>
        <w:pStyle w:val="Body"/>
      </w:pPr>
      <w:r>
        <w:t xml:space="preserve">Published by Copergrine — an all-in-one EMR for telehealth, in-person, and home health with denial-prevention billing, an included AI scribe, and published per-provider pricing. Migration scope, sandbox reconciliation, and AR continuity are handled with you.</w:t>
      </w:r>
    </w:p>
    <w:p>
      <w:pPr>
        <w:pStyle w:val="Meta"/>
      </w:pPr>
      <w:r>
        <w:t xml:space="preserve">https://www.copergrine.com/emr</w:t>
      </w:r>
    </w:p>
    <w:sectPr>
      <w:pgSz w:w="12240" w:h="15840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styleId="Title">
    <w:name w:val="Title"/>
    <w:pPr>
      <w:spacing w:after="160"/>
    </w:pPr>
    <w:rPr>
      <w:b/>
      <w:sz w:val="52"/>
      <w:color w:val="0D8A7C"/>
    </w:rPr>
  </w:style>
  <w:style w:type="paragraph" w:styleId="Heading1">
    <w:name w:val="heading 1"/>
    <w:pPr>
      <w:spacing w:before="360" w:after="140"/>
    </w:pPr>
    <w:rPr>
      <w:b/>
      <w:sz w:val="34"/>
      <w:color w:val="0D8A7C"/>
    </w:rPr>
  </w:style>
  <w:style w:type="paragraph" w:styleId="Heading2">
    <w:name w:val="heading 2"/>
    <w:pPr>
      <w:spacing w:before="280" w:after="120"/>
    </w:pPr>
    <w:rPr>
      <w:b/>
      <w:sz w:val="26"/>
    </w:rPr>
  </w:style>
  <w:style w:type="paragraph" w:styleId="Body">
    <w:name w:val="Body"/>
    <w:pPr>
      <w:spacing w:after="140" w:line="276" w:lineRule="auto"/>
    </w:pPr>
  </w:style>
  <w:style w:type="paragraph" w:styleId="Check">
    <w:name w:val="Check"/>
    <w:pPr>
      <w:spacing w:after="120" w:line="276" w:lineRule="auto"/>
      <w:ind w:left="360"/>
    </w:pPr>
  </w:style>
  <w:style w:type="paragraph" w:styleId="Meta">
    <w:name w:val="Meta"/>
    <w:pPr>
      <w:spacing w:after="200"/>
    </w:pPr>
    <w:rPr>
      <w:sz w:val="18"/>
      <w:color w:val="66666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EMR Migration &amp; Configuration Checklist</dc:title>
  <dc:creator>Copergrine</dc:creator>
  <cp:keywords>EMR migration, EHR migration, EMR configuration, go-live checklist</cp:keywords>
</cp:coreProperties>
</file>